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26" w:type="dxa"/>
        <w:tblInd w:w="93" w:type="dxa"/>
        <w:tblLook w:val="04A0" w:firstRow="1" w:lastRow="0" w:firstColumn="1" w:lastColumn="0" w:noHBand="0" w:noVBand="1"/>
      </w:tblPr>
      <w:tblGrid>
        <w:gridCol w:w="3792"/>
        <w:gridCol w:w="88"/>
        <w:gridCol w:w="1750"/>
        <w:gridCol w:w="130"/>
        <w:gridCol w:w="1141"/>
        <w:gridCol w:w="163"/>
        <w:gridCol w:w="1267"/>
        <w:gridCol w:w="192"/>
        <w:gridCol w:w="1163"/>
        <w:gridCol w:w="177"/>
        <w:gridCol w:w="1236"/>
        <w:gridCol w:w="180"/>
        <w:gridCol w:w="1130"/>
        <w:gridCol w:w="1384"/>
        <w:gridCol w:w="166"/>
      </w:tblGrid>
      <w:tr w:rsidR="003D0DB3">
        <w:trPr>
          <w:trHeight w:val="315"/>
        </w:trPr>
        <w:tc>
          <w:tcPr>
            <w:tcW w:w="388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3D0DB3" w:rsidRDefault="003D0D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8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3D0DB3" w:rsidRDefault="003D0D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3D0DB3" w:rsidRDefault="003D0D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3D0DB3" w:rsidRDefault="003D0D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3D0DB3" w:rsidRDefault="003D0D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3D0DB3" w:rsidRDefault="003D0D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Додаток 3</w:t>
            </w:r>
          </w:p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 Програми</w:t>
            </w:r>
          </w:p>
        </w:tc>
      </w:tr>
      <w:tr w:rsidR="003D0DB3">
        <w:trPr>
          <w:trHeight w:val="675"/>
        </w:trPr>
        <w:tc>
          <w:tcPr>
            <w:tcW w:w="13926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Пріоритетні об'єкти, які доцільно фінансувати  із залученням коштів державного, місцевих бюджетів, коштів інвесторів та благодійної допомоги </w:t>
            </w:r>
          </w:p>
        </w:tc>
      </w:tr>
      <w:tr w:rsidR="003D0DB3">
        <w:trPr>
          <w:gridAfter w:val="1"/>
          <w:wAfter w:w="166" w:type="dxa"/>
          <w:trHeight w:val="870"/>
        </w:trPr>
        <w:tc>
          <w:tcPr>
            <w:tcW w:w="3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 проекту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Період реалізації 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є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кту</w:t>
            </w:r>
          </w:p>
        </w:tc>
        <w:tc>
          <w:tcPr>
            <w:tcW w:w="2668" w:type="dxa"/>
            <w:gridSpan w:val="4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Оціночна вартість 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є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кту, тис.грн.</w:t>
            </w:r>
          </w:p>
        </w:tc>
        <w:tc>
          <w:tcPr>
            <w:tcW w:w="5462" w:type="dxa"/>
            <w:gridSpan w:val="7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Орієнтовний обсяг та джерела фінансування, тис.грн.</w:t>
            </w:r>
          </w:p>
        </w:tc>
      </w:tr>
      <w:tr w:rsidR="003D0DB3">
        <w:trPr>
          <w:gridAfter w:val="1"/>
          <w:wAfter w:w="166" w:type="dxa"/>
          <w:trHeight w:val="645"/>
        </w:trPr>
        <w:tc>
          <w:tcPr>
            <w:tcW w:w="3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D0DB3" w:rsidRDefault="003D0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DB3" w:rsidRDefault="003D0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усього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залишок на 01.01.2021р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Всього 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державний бюджет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інші джерела</w:t>
            </w:r>
          </w:p>
        </w:tc>
      </w:tr>
      <w:tr w:rsidR="003D0DB3">
        <w:trPr>
          <w:gridAfter w:val="1"/>
          <w:wAfter w:w="166" w:type="dxa"/>
          <w:trHeight w:val="315"/>
        </w:trPr>
        <w:tc>
          <w:tcPr>
            <w:tcW w:w="13760" w:type="dxa"/>
            <w:gridSpan w:val="1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DB3" w:rsidRDefault="00D9342E">
            <w:pPr>
              <w:spacing w:after="0" w:line="240" w:lineRule="auto"/>
              <w:ind w:firstLine="12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Створення в громаді опорних закладів освіти</w:t>
            </w:r>
          </w:p>
        </w:tc>
      </w:tr>
      <w:tr w:rsidR="003D0DB3">
        <w:trPr>
          <w:gridAfter w:val="1"/>
          <w:wAfter w:w="166" w:type="dxa"/>
          <w:trHeight w:val="630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 та розвиток опорних закладів освіти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315"/>
        </w:trPr>
        <w:tc>
          <w:tcPr>
            <w:tcW w:w="13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1.1.2. Оновлення матеріально – технічного забезпечення освітніх закладів</w:t>
            </w:r>
          </w:p>
        </w:tc>
      </w:tr>
      <w:tr w:rsidR="003D0DB3">
        <w:trPr>
          <w:gridAfter w:val="1"/>
          <w:wAfter w:w="166" w:type="dxa"/>
          <w:trHeight w:val="2144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Капітальний ремонт комплексу будівель Носівської міської гімназії і Носівської ЗОШ І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ІІІ ст. №1 із застосуванням заходів теплореновації (заміна вікон та дверей, утеплення фасаду,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заміна даху)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</w:tr>
      <w:tr w:rsidR="003D0DB3">
        <w:trPr>
          <w:gridAfter w:val="1"/>
          <w:wAfter w:w="166" w:type="dxa"/>
          <w:trHeight w:val="2117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Придбання шкільних автобусів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4 289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4 289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1455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Капітальний ремонт їдальні Носівської ЗОШ I-IIIст. №2 за адресою: Чернігівська область, м.Носівка,вул.Привітна,1-А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980,958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980,958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869,565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869,565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4725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Влаштування автоматичної пожежної сигналізації, оповіщення про пожежу, управління евакуацією людей, устаткування передавання тривожних сповіщень в приміщеннях Носівського НВК " ЗНЗ -ДНЗ" I- IIIст., а саме: будівля школи (корпус№1), будівля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школи (корпус№2),будівля школи (корпус№3), дитячий садок за адресою:Чернігівська область, м.Носівка,вул.Козацька,41 та будинок №5 (спальня) за адресою: Чернігівська область, м.Носівка,вул.Козацька,24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573,6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573,6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1260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Капітальний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Володьководівицької ЗСО І-ІІІ ступенів із застосуванням заходів теплореновації ( утеплення фасаду)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14850</w:t>
            </w:r>
          </w:p>
        </w:tc>
      </w:tr>
      <w:tr w:rsidR="003D0DB3">
        <w:trPr>
          <w:gridAfter w:val="1"/>
          <w:wAfter w:w="166" w:type="dxa"/>
          <w:trHeight w:val="630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 STEM лабораторії Володьководівицької  ЗОШ І–ІІІст.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1138,9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1138,9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2850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Придбання та монтаж обладнання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дитячого ігрового майданчика для Володькодівицького закладу загальної середньої освіти І—ІІІ ступенів Носівської міської ради Чернігівської області (вул. Центральна, буд. 77, с. Володькова Дівиця Носівської міської ради Чернігівської області)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2242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Капітальний ремонт асфальтобетонного покриття навколо центрального входу будівлі Носівської ЗОШ 1-3 ст. №1 Носівської міської ради за адресою: вул. Центральна, 25  м. Носівка Чернігівської обл.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1123.940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1050,8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1050,8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315"/>
        </w:trPr>
        <w:tc>
          <w:tcPr>
            <w:tcW w:w="13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1.1.3.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Створення умов для охоплення дітей дошкільною освітою</w:t>
            </w:r>
          </w:p>
        </w:tc>
      </w:tr>
      <w:tr w:rsidR="003D0DB3">
        <w:trPr>
          <w:gridAfter w:val="1"/>
          <w:wAfter w:w="166" w:type="dxa"/>
          <w:trHeight w:val="1260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Виготовлення ПКД на реконструкцію Носівської ЗОШ І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ІІІ ст. №4 під дошкільний навчальний заклад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945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Придбання обладнання, оснащення згідно  з вимогами функціонування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дошкільному підрозділі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630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 ігрових майданчиків у  ДНЗ « Барвінок» та «Дзвіночок»</w:t>
            </w:r>
          </w:p>
          <w:p w:rsidR="003D0DB3" w:rsidRDefault="003D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315"/>
        </w:trPr>
        <w:tc>
          <w:tcPr>
            <w:tcW w:w="13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1.2.1. Створення єдиного інформаційного простору в системі освіти громади</w:t>
            </w:r>
          </w:p>
        </w:tc>
      </w:tr>
      <w:tr w:rsidR="003D0DB3">
        <w:trPr>
          <w:gridAfter w:val="1"/>
          <w:wAfter w:w="166" w:type="dxa"/>
          <w:trHeight w:val="630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 єдиного інформаційного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простору в системі освіти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315"/>
        </w:trPr>
        <w:tc>
          <w:tcPr>
            <w:tcW w:w="13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1.2.2. Підвищення рівня професійних компетентностей педагогічних працівників</w:t>
            </w:r>
          </w:p>
        </w:tc>
      </w:tr>
      <w:tr w:rsidR="003D0DB3">
        <w:trPr>
          <w:gridAfter w:val="1"/>
          <w:wAfter w:w="166" w:type="dxa"/>
          <w:trHeight w:val="630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Придбання ноутбуків для закладів загальної середньої освіти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945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Підвищення рівня професійних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компетентностей педагогічних працівників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315"/>
        </w:trPr>
        <w:tc>
          <w:tcPr>
            <w:tcW w:w="13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1.3.1. Модернізація стадіонів та створення нових спортивних майданчиків</w:t>
            </w:r>
          </w:p>
        </w:tc>
      </w:tr>
      <w:tr w:rsidR="003D0DB3">
        <w:trPr>
          <w:gridAfter w:val="1"/>
          <w:wAfter w:w="166" w:type="dxa"/>
          <w:trHeight w:val="945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Будівництво багатофункціонального спортивного майданчика  в Носівській міській гімназії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</w:t>
            </w:r>
          </w:p>
        </w:tc>
      </w:tr>
      <w:tr w:rsidR="003D0DB3">
        <w:trPr>
          <w:gridAfter w:val="1"/>
          <w:wAfter w:w="166" w:type="dxa"/>
          <w:trHeight w:val="630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Облаштування багатофункціонального скейт- парку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315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315"/>
        </w:trPr>
        <w:tc>
          <w:tcPr>
            <w:tcW w:w="13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1.3.2.  Проведення капітальних ремонтів спортивних комплексів та залів</w:t>
            </w:r>
          </w:p>
        </w:tc>
      </w:tr>
      <w:tr w:rsidR="003D0DB3">
        <w:trPr>
          <w:gridAfter w:val="1"/>
          <w:wAfter w:w="166" w:type="dxa"/>
          <w:trHeight w:val="2175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Капітальний ремонт комплексу будівелі КПНЗ "ДЮСШ" Носівської міської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 у м. Носівка із застосуванням заходів теплореновації (заміна вікон та дверей, утеплення фасаду, заміна даху)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</w:t>
            </w:r>
          </w:p>
        </w:tc>
      </w:tr>
      <w:tr w:rsidR="003D0DB3">
        <w:trPr>
          <w:gridAfter w:val="1"/>
          <w:wAfter w:w="166" w:type="dxa"/>
          <w:trHeight w:val="1842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 ремонт глядацьких трибун стадіону Комунальний позашкільний навчальний заклад "Дитячо-юнацька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 школа" Носівської міської ради  за адресою:  вул. Шевченка, 1- Б,  м.Носівка  Чернігівської обл. 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1525,895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1525,895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1523,9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1473,9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1530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Капітальний ремонт 400-метрового легко-атлетичного стадіону КПНЗ "ДЮСШ" Носівської міської ради у 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Носівка" (Коригування)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8592,148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8562,838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8162,047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5702,347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2459,7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2160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Капітальний ремонт огорожі Комунального позашкільного навчального закладу “Дитяча-юнацька спортивна школа” Носівської міської ради за адресою: вул. Шевченка, 1-Б, м.Носівка,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Чернігівської обл.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408,245</w:t>
            </w:r>
          </w:p>
          <w:p w:rsidR="003D0DB3" w:rsidRDefault="003D0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D0DB3" w:rsidRDefault="003D0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D0DB3" w:rsidRDefault="003D0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D0DB3" w:rsidRDefault="003D0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408,245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408,245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408,245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1049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Реконструкція спортивного залу по вул. Автоколонна, 13-А в м. Носівка Чернігівської області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5523,308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5373,308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5373,308</w:t>
            </w:r>
          </w:p>
          <w:p w:rsidR="003D0DB3" w:rsidRDefault="003D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DB3" w:rsidRDefault="003D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4298,646</w:t>
            </w:r>
          </w:p>
          <w:p w:rsidR="003D0DB3" w:rsidRDefault="003D0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DB3" w:rsidRDefault="003D0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1074,662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992"/>
        </w:trPr>
        <w:tc>
          <w:tcPr>
            <w:tcW w:w="13760" w:type="dxa"/>
            <w:gridSpan w:val="1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1.3.3. Сприяння створенню та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ідтримка діяльності спортивних об`єднань на теренах Носівської   громади</w:t>
            </w:r>
          </w:p>
        </w:tc>
      </w:tr>
      <w:tr w:rsidR="003D0DB3">
        <w:trPr>
          <w:gridAfter w:val="1"/>
          <w:wAfter w:w="166" w:type="dxa"/>
          <w:trHeight w:val="2100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Сприяння діяльності  громадських об’єднань фізкультурно-спортивного напрямку  Носівської  територіальної громади (ГО "Федерація футболу Носівської громади", ГО "Носівська районня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 ФСТ «Колос» АПК України")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1108,012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1108,012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630"/>
        </w:trPr>
        <w:tc>
          <w:tcPr>
            <w:tcW w:w="13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1.4.1.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Перетворення діючої бібліотеки на комфортні місця соціальної комунікації мешканців населених пунктів, розширення їхніх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послуг</w:t>
            </w:r>
          </w:p>
        </w:tc>
      </w:tr>
      <w:tr w:rsidR="003D0DB3">
        <w:trPr>
          <w:gridAfter w:val="1"/>
          <w:wAfter w:w="166" w:type="dxa"/>
          <w:trHeight w:val="945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Реконструкція Публічної бібліотеки Носівської міської ради та відділу для дітей</w:t>
            </w:r>
          </w:p>
          <w:p w:rsidR="003D0DB3" w:rsidRDefault="003D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DB3" w:rsidRDefault="003D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315"/>
        </w:trPr>
        <w:tc>
          <w:tcPr>
            <w:tcW w:w="13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1.4.2.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Створення  умов для розвитку мешканців громади у сфері культури</w:t>
            </w:r>
          </w:p>
        </w:tc>
      </w:tr>
      <w:tr w:rsidR="003D0DB3">
        <w:trPr>
          <w:gridAfter w:val="1"/>
          <w:wAfter w:w="166" w:type="dxa"/>
          <w:trHeight w:val="1200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Виготовлення проєктно- кошторисної документації по проєкту «Добудова молодіжного  диско-залу   до Носівського МБК»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2100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Капітальний ремонт Володьководівицького будинку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культури Носівської міської ради, розташованого за адресою Чернігівська область с.Володькова Дівиця, вул.Центральна,75 (коригування2)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10320,946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10320,946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10320,946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9274,876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1046,07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180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Капітальний ремонт артистичної кімнати Яснозірківського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клубу, що знаходиться за адресою: Чернігівська обл., Ніжинський район, Носівська територіальна громада, село Ясна  Зірка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154,264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154,264</w:t>
            </w:r>
          </w:p>
        </w:tc>
        <w:tc>
          <w:tcPr>
            <w:tcW w:w="13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1500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Капітальний ремонт фасаду Носівського міського будинку культури Носівської міської ради за адресою: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Чернігівська область, м. Носівка, вул. Центральна, 8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632,3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632,3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502,736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502,736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547"/>
        </w:trPr>
        <w:tc>
          <w:tcPr>
            <w:tcW w:w="13760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1.5. Надання якісних медичних послуг</w:t>
            </w:r>
          </w:p>
        </w:tc>
      </w:tr>
      <w:tr w:rsidR="003D0DB3">
        <w:trPr>
          <w:gridAfter w:val="1"/>
          <w:wAfter w:w="166" w:type="dxa"/>
          <w:trHeight w:val="326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Реконструкція приміщень другого поверху чотирьохповерхової споруди поліклінічного відділення КНП "Носівська міська лікарня ім.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Ф.Я.Примака" під розміщення адміністративного блоку Комунального некомерційного підприємства "Носівський  центр первинної медико-санітарної допомоги" Носівської міської ради по вул. Центральна, 53 в м. Носівка Чернігівської області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1641,184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3D0DB3">
        <w:trPr>
          <w:gridAfter w:val="1"/>
          <w:wAfter w:w="166" w:type="dxa"/>
          <w:trHeight w:val="4251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Реконструкція приміщень другого поверху чотирьохповерхової споруди поліклінічного відділення КНП "Носівська міська лікарня ім. Ф.Я. Примака" Носівської міської ради під розміщення маніпуляційної, денного стаціонару та санвузла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 некомерційного підприємства "Носівський  центр первинної медико-санітарної допомоги" Носівської міської ради по вул. Центральна, 53 в м. Носівка Чернігівської області (коригування)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614,438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583,678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1500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Придбання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спеціалізованого медичного обладнання для  Комунального  некомерційного підприємства «Носівська міська лікарня імені Ф.Я.Примака» Носівської міської ради 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3300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2640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660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2400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автоматичного біохімічного аналізатора для КНП “Носівська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 районна лікарня імені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Ф. Я. Примака” Носівської районної ради Чернігівської області (вул. Центральна, м.  Носівка, Чернігівська область) 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430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430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2551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Придбання ренгенодіагностичної цифрової дентальної системи для КНП “Носівська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центральна районна лікарня імені Ф. Я. Примака” Носівської районної ради Чернігівської області (вул. Центральна, 53, м. Носівка, Чернігівська область)”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2021-2022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169,3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169,3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2116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Капітальний ремонт дорожнього покриття з водовідведенням на території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КНП «Носівська МЛ ім. Ф.Я. Примака», ІІ черга (під’їзд до гаражів, під’їзд до поліклініки, під’їзд до паталого-анатомічного відділення)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2672,554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2672,554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2672,554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2672,554</w:t>
            </w:r>
          </w:p>
        </w:tc>
      </w:tr>
      <w:tr w:rsidR="003D0DB3">
        <w:trPr>
          <w:gridAfter w:val="1"/>
          <w:wAfter w:w="166" w:type="dxa"/>
          <w:trHeight w:val="2100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Виготовлення проектно- кошторисної документації на капітальний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ремонт будівлі КНП «Носівська МЛ ім. Ф.Я. Примака» Носівської міської ради поліклініки (капітальний ремонт даху, заміна вікон, утеплення фасаду, капітальний ремонт приміщень)</w:t>
            </w:r>
          </w:p>
          <w:p w:rsidR="003D0DB3" w:rsidRDefault="003D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D0DB3" w:rsidRDefault="003D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D0DB3" w:rsidRDefault="003D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450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450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315"/>
        </w:trPr>
        <w:tc>
          <w:tcPr>
            <w:tcW w:w="13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2.1.1. Будівництво, ремонт та утримання доріг</w:t>
            </w:r>
          </w:p>
        </w:tc>
      </w:tr>
      <w:tr w:rsidR="003D0DB3">
        <w:trPr>
          <w:gridAfter w:val="1"/>
          <w:wAfter w:w="166" w:type="dxa"/>
          <w:trHeight w:val="1575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Капітальний ремонт тротуару комунальної власності по вул. Вокзальна довжиною 1,700 км в м. Носівка, Носівського району, Чернігівської області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2256,17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2256,17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2256,17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2256,17</w:t>
            </w:r>
          </w:p>
        </w:tc>
      </w:tr>
      <w:tr w:rsidR="003D0DB3">
        <w:trPr>
          <w:gridAfter w:val="1"/>
          <w:wAfter w:w="166" w:type="dxa"/>
          <w:trHeight w:val="1890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Капітальний ремонт проїзної частини автомобільної дороги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комунальної власності по вул. Польова довжиною  0,800 км в м. Носівка, Носівського району, Чернігівської області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2465,381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2465,381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2465,381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2465,381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1575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Поточний середній ремонт автомобільної дороги комунальної власності по вул. Польова в 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Носівка, Носівського району, Чернігівської області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1461,658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1461,658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1461,658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1461,658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2205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Капітальний ремонт проїзної частини автомобільної дороги комунальної власності по вул. Полівка на ділянці ПК8+59-ПК15+54 довжиною  0,695 км в  м. Носівка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Носівського району, Чернігівської області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2671,578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2671,578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2671,578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2671,578</w:t>
            </w:r>
          </w:p>
        </w:tc>
      </w:tr>
      <w:tr w:rsidR="003D0DB3">
        <w:trPr>
          <w:gridAfter w:val="1"/>
          <w:wAfter w:w="166" w:type="dxa"/>
          <w:trHeight w:val="1890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Капітальний ремонт проїзної частини автомобільної дороги комунальної власності по вул. Богдана Хмельницького довжиною  0,824 км в  м. Носівка, Носівського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району, Чернігівської області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3D0DB3">
        <w:trPr>
          <w:gridAfter w:val="1"/>
          <w:wAfter w:w="166" w:type="dxa"/>
          <w:trHeight w:val="1260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Будівництво світлофорного об'єкту на перехресті вул. Центральна - вул. Вокзальна - вул. Суворова в м. Носівка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1857,284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1857,284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1857,284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4,008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1853,276</w:t>
            </w:r>
          </w:p>
        </w:tc>
      </w:tr>
      <w:tr w:rsidR="003D0DB3">
        <w:trPr>
          <w:gridAfter w:val="1"/>
          <w:wAfter w:w="166" w:type="dxa"/>
          <w:trHeight w:val="1890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Капітальний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дорожнього покриття з улаштуванням паркувального карману біля КНП "Носівська міська лікарня ім. Ф.Я. Примака"  по вул. Центральна, 53 в м. Носівка Чернігівської області 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800,347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761,959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741,732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741,732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1575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Капітальний ремонт проїзної частини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автомобільної дороги комунальної власності по вул. Гоголя в  с.Володькова Дівиця, Чернігівської області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</w:tr>
      <w:tr w:rsidR="003D0DB3">
        <w:trPr>
          <w:gridAfter w:val="1"/>
          <w:wAfter w:w="166" w:type="dxa"/>
          <w:trHeight w:val="1575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Капітальний ремонт проїзної частини автомобільної дороги комунальної власності по по вул. Незалежності в  с.Володькова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Дівиця,  Чернігівської області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</w:tr>
      <w:tr w:rsidR="003D0DB3">
        <w:trPr>
          <w:gridAfter w:val="1"/>
          <w:wAfter w:w="166" w:type="dxa"/>
          <w:trHeight w:val="1575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Капітальний ремонт тротуару комунальної власності по вул. Центральна довжиною 0,575 км в м. Носівка, Носівського району, Чернігівської області Коригування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5018,131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5018,131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5018,131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5018,131</w:t>
            </w:r>
          </w:p>
        </w:tc>
      </w:tr>
      <w:tr w:rsidR="003D0DB3">
        <w:trPr>
          <w:gridAfter w:val="1"/>
          <w:wAfter w:w="166" w:type="dxa"/>
          <w:trHeight w:val="1500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Капітальний ремонт проїзної частини автомобільної дороги комунальної власності по вул. Гагаріна довжиною 0,356 км  в м. Носівка,  Чернігівської області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1227,481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1002,64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1002,64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1500"/>
        </w:trPr>
        <w:tc>
          <w:tcPr>
            <w:tcW w:w="3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Капітальний ремонт проїзної частини автомобільної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дороги комунальної власності по вул. Козацька  в м. Носівка,  Чернігівської області, I черга (км0+571-км1+440)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2563,421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2563,421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2513,803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49,618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17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Капітальний та поточний ремонт дорожнього покриття доріг міста Носівка та сільських населених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пунктів Носівської територіальної громади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7950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</w:tr>
      <w:tr w:rsidR="003D0DB3">
        <w:trPr>
          <w:gridAfter w:val="1"/>
          <w:wAfter w:w="166" w:type="dxa"/>
          <w:trHeight w:val="315"/>
        </w:trPr>
        <w:tc>
          <w:tcPr>
            <w:tcW w:w="13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2.1.2. Поширення вуличного освітлення в населених пунктах громади</w:t>
            </w:r>
          </w:p>
        </w:tc>
      </w:tr>
      <w:tr w:rsidR="003D0DB3">
        <w:trPr>
          <w:gridAfter w:val="1"/>
          <w:wAfter w:w="166" w:type="dxa"/>
          <w:trHeight w:val="3780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Реконструкція в рамках відновлення  системи вуличного освітлення частини вул. Садова, вул. Молодіжна, вул. Тракторна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м. Носівка, Носівського району, Чернігівської області з виділенням черговості: І черга-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вул. Садова від ЗТП – 397; ІІ черга - вул. Молодіжна, вул. Тракторна від КТП – 205; ІІІ черга – вул. Тракторна від КТП - 220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392,592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392,592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392,592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,592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2205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Реконструкція в рамках відновлення  системи вуличного освітлення частини вул. Корольова, вул.Перемоги, вул.Суворова, вул. Жданова  від КТП- 71 в с. Криниця, Носівського району, Чернігівської області 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578,196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578,196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578,196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578,196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4393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Реконструкція в рамках відновлення  системи вуличного освітлення частини автошляху Т2525, вул. Єдності, вул. 20 років Незалежності, вул. Маяковського, вул. Лісова від КТП – 329 - 14 в с. Лісові Хутори, Носівського району, Чернігівської області з виділенням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черговості: І черга-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частина автошляху Т2525; ІІ черга - вул. Єдності, вул. 20 років Незалежності, вул. Маяковського; ІІІ черга – вул. Єдності, вул. 20 років Незалежності, вул. Маяковського, вул. Лісова 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741,875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741,875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741,875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741,875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2205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Реконструкція в рамках відновлення  системи вуличного освітлення частини вул. Кобизька, вул. Рильського, вул. Бригадна, вул.Гончарова від  КТП 85 в  с. Підгайне Носівського району, Чернігівської області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496,318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474,031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474,031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474,031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1200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 в рамках відновлення системи вуличного освітлення частини вул.Привітна від КТП-161-14 в м.Носівка, Чернігівської області"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708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708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1500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"Реконструкція в рамках відновлення системи вуличного освітлення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частини вул.Коцюбинського, вул.Привітна від КТП-406-14 в м.Носівка, Чернігівської області"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400,929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400,929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400,929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400,929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1935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Реконструкція існуючих та будівництво нових мереж вуличного освітлення міста Носівка та населених пунктів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Носівської територіальної громади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1443,3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1443,3</w:t>
            </w:r>
          </w:p>
        </w:tc>
      </w:tr>
      <w:tr w:rsidR="003D0DB3">
        <w:trPr>
          <w:gridAfter w:val="1"/>
          <w:wAfter w:w="166" w:type="dxa"/>
          <w:trHeight w:val="630"/>
        </w:trPr>
        <w:tc>
          <w:tcPr>
            <w:tcW w:w="13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2.2.1. Підвищення ефективності функціонування  підприємств – надавачів житлово-комунальних послуг</w:t>
            </w:r>
          </w:p>
        </w:tc>
      </w:tr>
      <w:tr w:rsidR="003D0DB3">
        <w:trPr>
          <w:gridAfter w:val="1"/>
          <w:wAfter w:w="166" w:type="dxa"/>
          <w:trHeight w:val="1560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Придбання паливно-заправного модуля для обслуговування автотранспорту підприємства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паливно-мастильними матеріалами    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945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Оновлення автомобільного парку. Придбання аварійно-ремонтної майстерні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630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Оновлення автомобільного парку. Придбання автогрейдера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</w:t>
            </w:r>
          </w:p>
        </w:tc>
      </w:tr>
      <w:tr w:rsidR="003D0DB3">
        <w:trPr>
          <w:gridAfter w:val="1"/>
          <w:wAfter w:w="166" w:type="dxa"/>
          <w:trHeight w:val="2430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Придбання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Комунальним підприємством  «Носівські теплові мережі» Носівської міської ради Чернігівської області твердопаливних котлів в котельні закладів  освіти Носівської міської ради Чернігівської області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2205"/>
        </w:trPr>
        <w:tc>
          <w:tcPr>
            <w:tcW w:w="3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Придбання твердопаливного котла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котельню позашкільного навчального закладу “Дитяча-юнацька спортивна школа” Носівської міської ради за адресою: вул. Шевченка, 1б, м. Носівка Чернігівської обл.”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91,755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91,755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61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Оновлення автомобільного парку. Придбання вантажного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автомобіля самоскида</w:t>
            </w:r>
          </w:p>
          <w:p w:rsidR="003D0DB3" w:rsidRDefault="003D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DB3" w:rsidRDefault="003D0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3D0DB3">
        <w:trPr>
          <w:gridAfter w:val="1"/>
          <w:wAfter w:w="166" w:type="dxa"/>
          <w:trHeight w:val="315"/>
        </w:trPr>
        <w:tc>
          <w:tcPr>
            <w:tcW w:w="13760" w:type="dxa"/>
            <w:gridSpan w:val="1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2.2.2. Модернізація системи водопостачання та водовідведення</w:t>
            </w:r>
          </w:p>
        </w:tc>
      </w:tr>
      <w:tr w:rsidR="003D0DB3">
        <w:trPr>
          <w:gridAfter w:val="1"/>
          <w:wAfter w:w="166" w:type="dxa"/>
          <w:trHeight w:val="1080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Проектування та будівництво артезіанської свердловини в м.Носівка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3D0DB3">
        <w:trPr>
          <w:gridAfter w:val="1"/>
          <w:wAfter w:w="166" w:type="dxa"/>
          <w:trHeight w:val="600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Проектування та будівництво локальних очисних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споруд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3650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350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3300</w:t>
            </w:r>
          </w:p>
        </w:tc>
      </w:tr>
      <w:tr w:rsidR="003D0DB3">
        <w:trPr>
          <w:gridAfter w:val="1"/>
          <w:wAfter w:w="166" w:type="dxa"/>
          <w:trHeight w:val="315"/>
        </w:trPr>
        <w:tc>
          <w:tcPr>
            <w:tcW w:w="13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2.2.3. Підвищення ефективності управління енергетичними ресурсами</w:t>
            </w:r>
          </w:p>
        </w:tc>
      </w:tr>
      <w:tr w:rsidR="003D0DB3">
        <w:trPr>
          <w:gridAfter w:val="1"/>
          <w:wAfter w:w="166" w:type="dxa"/>
          <w:trHeight w:val="945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vAlign w:val="bottom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Підключення закладів соціальної інфраструктури до широкосмугового доступу до Інтернету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963,2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963,2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157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Реконструкція  даху прибудови до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інбудівлі  Носівської міської ради по вул. Центральна, 20 в м. Носівка, Ніжинського району, Чернігівської області (заміна покрівлі)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1157,127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1157,127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127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477"/>
        </w:trPr>
        <w:tc>
          <w:tcPr>
            <w:tcW w:w="13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3.1.1. Розробка генеральних планів та зонінгу для населених пунктів громади, її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просторового планування</w:t>
            </w:r>
          </w:p>
        </w:tc>
      </w:tr>
      <w:tr w:rsidR="003D0DB3">
        <w:trPr>
          <w:gridAfter w:val="1"/>
          <w:wAfter w:w="166" w:type="dxa"/>
          <w:trHeight w:val="615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Розроблення містобудівної документації населених пунктів Носівської міської ради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2936,3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2936,3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315"/>
        </w:trPr>
        <w:tc>
          <w:tcPr>
            <w:tcW w:w="13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3.1.2. Встановлення меж населених пунктів громади</w:t>
            </w:r>
          </w:p>
        </w:tc>
      </w:tr>
      <w:tr w:rsidR="003D0DB3">
        <w:trPr>
          <w:gridAfter w:val="1"/>
          <w:wAfter w:w="166" w:type="dxa"/>
          <w:trHeight w:val="630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 меж населеного пункту   м. Носівка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315"/>
        </w:trPr>
        <w:tc>
          <w:tcPr>
            <w:tcW w:w="13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4.1.1. Поліпшення збору та утилізації ТПВ</w:t>
            </w:r>
          </w:p>
        </w:tc>
      </w:tr>
      <w:tr w:rsidR="003D0DB3">
        <w:trPr>
          <w:gridAfter w:val="1"/>
          <w:wAfter w:w="166" w:type="dxa"/>
          <w:trHeight w:val="1575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 екологічно безпечного збирання, перевезення та утилізації непридатних до використання хімічних засобів захисту рослин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212,5</w:t>
            </w:r>
          </w:p>
        </w:tc>
      </w:tr>
      <w:tr w:rsidR="003D0DB3">
        <w:trPr>
          <w:gridAfter w:val="1"/>
          <w:wAfter w:w="166" w:type="dxa"/>
          <w:trHeight w:val="1065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Будівництво полігону для складування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твердих побутових відходів в Носівській громаді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18400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</w:tr>
      <w:tr w:rsidR="003D0DB3">
        <w:trPr>
          <w:gridAfter w:val="1"/>
          <w:wAfter w:w="166" w:type="dxa"/>
          <w:trHeight w:val="315"/>
        </w:trPr>
        <w:tc>
          <w:tcPr>
            <w:tcW w:w="13760" w:type="dxa"/>
            <w:gridSpan w:val="1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4.2.1. Розчищення водоймищ на території громади</w:t>
            </w:r>
          </w:p>
        </w:tc>
      </w:tr>
      <w:tr w:rsidR="003D0DB3">
        <w:trPr>
          <w:gridAfter w:val="1"/>
          <w:wAfter w:w="166" w:type="dxa"/>
          <w:trHeight w:val="1677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Реконструкція річки Новий потік на території с. Володькова Дівиця, з метою покращення її технічного стану та благоустрою зони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відпочинку.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3D0DB3">
        <w:trPr>
          <w:gridAfter w:val="1"/>
          <w:wAfter w:w="166" w:type="dxa"/>
          <w:trHeight w:val="315"/>
        </w:trPr>
        <w:tc>
          <w:tcPr>
            <w:tcW w:w="13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4.2.2. Організація зелених зон та зон відпочинку</w:t>
            </w:r>
          </w:p>
        </w:tc>
      </w:tr>
      <w:tr w:rsidR="003D0DB3">
        <w:trPr>
          <w:gridAfter w:val="1"/>
          <w:wAfter w:w="166" w:type="dxa"/>
          <w:trHeight w:val="870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Облаштування громадської вбиральні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1335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Облаштування рекреаційної зони  відпочинку (сквер) за адресою: вул. Миру, с. Дослідне Чернігівської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області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DB3">
        <w:trPr>
          <w:gridAfter w:val="1"/>
          <w:wAfter w:w="166" w:type="dxa"/>
          <w:trHeight w:val="315"/>
        </w:trPr>
        <w:tc>
          <w:tcPr>
            <w:tcW w:w="37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83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val="uk-UA" w:eastAsia="ru-RU"/>
              </w:rPr>
              <w:t>61463,112</w:t>
            </w:r>
          </w:p>
        </w:tc>
        <w:tc>
          <w:tcPr>
            <w:tcW w:w="1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val="uk-UA" w:eastAsia="ru-RU"/>
              </w:rPr>
              <w:t>56244,338</w:t>
            </w:r>
          </w:p>
        </w:tc>
        <w:tc>
          <w:tcPr>
            <w:tcW w:w="13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val="uk-UA" w:eastAsia="ru-RU"/>
              </w:rPr>
              <w:t>227367,385</w:t>
            </w:r>
          </w:p>
        </w:tc>
        <w:tc>
          <w:tcPr>
            <w:tcW w:w="141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val="uk-UA" w:eastAsia="ru-RU"/>
              </w:rPr>
              <w:t>43219,108</w:t>
            </w:r>
          </w:p>
        </w:tc>
        <w:tc>
          <w:tcPr>
            <w:tcW w:w="131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val="uk-UA" w:eastAsia="ru-RU"/>
              </w:rPr>
              <w:t>24475,768</w:t>
            </w:r>
          </w:p>
        </w:tc>
        <w:tc>
          <w:tcPr>
            <w:tcW w:w="13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B3" w:rsidRDefault="00D9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val="uk-UA" w:eastAsia="ru-RU"/>
              </w:rPr>
              <w:t>159672,509</w:t>
            </w:r>
          </w:p>
        </w:tc>
      </w:tr>
    </w:tbl>
    <w:p w:rsidR="003D0DB3" w:rsidRDefault="003D0DB3">
      <w:pPr>
        <w:rPr>
          <w:lang w:val="en-US"/>
        </w:rPr>
      </w:pPr>
    </w:p>
    <w:p w:rsidR="003D0DB3" w:rsidRDefault="00D9342E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 xml:space="preserve">Начальник відділу економічного </w:t>
      </w:r>
    </w:p>
    <w:p w:rsidR="003D0DB3" w:rsidRDefault="00D9342E">
      <w:pPr>
        <w:tabs>
          <w:tab w:val="left" w:pos="1063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розвитку, інвестицій та регуляторної діяльності</w:t>
      </w:r>
      <w:r>
        <w:rPr>
          <w:rFonts w:ascii="Times New Roman" w:eastAsia="Times New Roman" w:hAnsi="Times New Roman" w:cs="Times New Roman"/>
          <w:sz w:val="28"/>
          <w:lang w:val="en-US"/>
        </w:rPr>
        <w:tab/>
        <w:t>Наталія МАЛИНКО</w:t>
      </w:r>
    </w:p>
    <w:sectPr w:rsidR="003D0DB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2E" w:rsidRDefault="00D9342E">
      <w:pPr>
        <w:spacing w:after="0" w:line="240" w:lineRule="auto"/>
      </w:pPr>
      <w:r>
        <w:separator/>
      </w:r>
    </w:p>
  </w:endnote>
  <w:endnote w:type="continuationSeparator" w:id="0">
    <w:p w:rsidR="00D9342E" w:rsidRDefault="00D9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2E" w:rsidRDefault="00D9342E">
      <w:pPr>
        <w:spacing w:after="0" w:line="240" w:lineRule="auto"/>
      </w:pPr>
      <w:r>
        <w:separator/>
      </w:r>
    </w:p>
  </w:footnote>
  <w:footnote w:type="continuationSeparator" w:id="0">
    <w:p w:rsidR="00D9342E" w:rsidRDefault="00D93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B3"/>
    <w:rsid w:val="003D0DB3"/>
    <w:rsid w:val="00A80E36"/>
    <w:rsid w:val="00D9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2355</Words>
  <Characters>13424</Characters>
  <Application>Microsoft Office Word</Application>
  <DocSecurity>0</DocSecurity>
  <Lines>111</Lines>
  <Paragraphs>31</Paragraphs>
  <ScaleCrop>false</ScaleCrop>
  <Company/>
  <LinksUpToDate>false</LinksUpToDate>
  <CharactersWithSpaces>15748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econ02</dc:creator>
  <cp:lastModifiedBy>User</cp:lastModifiedBy>
  <cp:revision>2</cp:revision>
  <cp:lastPrinted>2022-07-29T08:35:00Z</cp:lastPrinted>
  <dcterms:created xsi:type="dcterms:W3CDTF">2022-07-29T08:35:00Z</dcterms:created>
  <dcterms:modified xsi:type="dcterms:W3CDTF">2022-07-29T08:35:00Z</dcterms:modified>
</cp:coreProperties>
</file>